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3CA9" w14:textId="3C8E3948" w:rsidR="00ED41FD" w:rsidRPr="005A0CA7" w:rsidRDefault="00ED41FD" w:rsidP="00ED41FD">
      <w:pPr>
        <w:pStyle w:val="Body"/>
        <w:spacing w:line="240" w:lineRule="auto"/>
        <w:jc w:val="center"/>
        <w:rPr>
          <w:rFonts w:ascii="29LT Bukra Regular" w:hAnsi="29LT Bukra Regular"/>
          <w:color w:val="000000" w:themeColor="text1"/>
          <w:sz w:val="32"/>
          <w:szCs w:val="32"/>
          <w:lang w:val="en-US"/>
        </w:rPr>
      </w:pPr>
      <w:r w:rsidRPr="005A0CA7">
        <w:rPr>
          <w:noProof/>
          <w:color w:val="000000" w:themeColor="text1"/>
        </w:rPr>
        <w:drawing>
          <wp:anchor distT="0" distB="0" distL="0" distR="0" simplePos="0" relativeHeight="251659264" behindDoc="0" locked="0" layoutInCell="1" allowOverlap="1" wp14:anchorId="37384B6F" wp14:editId="6725D1EC">
            <wp:simplePos x="0" y="0"/>
            <wp:positionH relativeFrom="margin">
              <wp:posOffset>2034540</wp:posOffset>
            </wp:positionH>
            <wp:positionV relativeFrom="line">
              <wp:posOffset>-270510</wp:posOffset>
            </wp:positionV>
            <wp:extent cx="1874520" cy="1150946"/>
            <wp:effectExtent l="0" t="0" r="0" b="0"/>
            <wp:wrapNone/>
            <wp:docPr id="1073741825" name="officeArt object" descr="A logo with a letter h and colorful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with a letter h and colorful squaresDescription automatically generated" descr="A logo with a letter h and colorful squaresDescription automatically generated"/>
                    <pic:cNvPicPr>
                      <a:picLocks noChangeAspect="1"/>
                    </pic:cNvPicPr>
                  </pic:nvPicPr>
                  <pic:blipFill>
                    <a:blip r:embed="rId6"/>
                    <a:stretch>
                      <a:fillRect/>
                    </a:stretch>
                  </pic:blipFill>
                  <pic:spPr>
                    <a:xfrm>
                      <a:off x="0" y="0"/>
                      <a:ext cx="1874520" cy="1150946"/>
                    </a:xfrm>
                    <a:prstGeom prst="rect">
                      <a:avLst/>
                    </a:prstGeom>
                    <a:ln w="12700" cap="flat">
                      <a:noFill/>
                      <a:miter lim="400000"/>
                    </a:ln>
                    <a:effectLst/>
                  </pic:spPr>
                </pic:pic>
              </a:graphicData>
            </a:graphic>
          </wp:anchor>
        </w:drawing>
      </w:r>
    </w:p>
    <w:p w14:paraId="03F27A2C" w14:textId="77777777" w:rsidR="00ED41FD" w:rsidRDefault="00ED41FD" w:rsidP="00ED41FD">
      <w:pPr>
        <w:pStyle w:val="Body1"/>
        <w:jc w:val="center"/>
        <w:rPr>
          <w:rFonts w:ascii="Times New Roman" w:hAnsi="Times New Roman" w:cs="Times New Roman"/>
          <w:b/>
          <w:bCs/>
          <w:color w:val="000000" w:themeColor="text1"/>
        </w:rPr>
      </w:pPr>
    </w:p>
    <w:p w14:paraId="71BC4947" w14:textId="77777777" w:rsidR="00ED41FD" w:rsidRPr="00ED41FD" w:rsidRDefault="00ED41FD" w:rsidP="00ED41FD">
      <w:pPr>
        <w:pStyle w:val="Body1"/>
        <w:jc w:val="center"/>
        <w:rPr>
          <w:rFonts w:asciiTheme="majorBidi" w:hAnsiTheme="majorBidi" w:cstheme="majorBidi"/>
          <w:b/>
          <w:bCs/>
          <w:color w:val="000000" w:themeColor="text1"/>
        </w:rPr>
      </w:pPr>
    </w:p>
    <w:p w14:paraId="410ACE6A" w14:textId="08459D9D" w:rsidR="00ED41FD" w:rsidRPr="00D13AD8" w:rsidRDefault="00ED41FD" w:rsidP="00D13AD8">
      <w:pPr>
        <w:pStyle w:val="Body1"/>
        <w:spacing w:line="360" w:lineRule="auto"/>
        <w:jc w:val="center"/>
        <w:rPr>
          <w:rFonts w:ascii="Times New Roman" w:hAnsi="Times New Roman" w:cs="Times New Roman"/>
          <w:color w:val="000000" w:themeColor="text1"/>
        </w:rPr>
      </w:pPr>
      <w:r w:rsidRPr="00D13AD8">
        <w:rPr>
          <w:rFonts w:ascii="Times New Roman" w:hAnsi="Times New Roman" w:cs="Times New Roman"/>
          <w:color w:val="000000" w:themeColor="text1"/>
        </w:rPr>
        <w:t>Master of Education in Learning</w:t>
      </w:r>
    </w:p>
    <w:p w14:paraId="569D7E61" w14:textId="77777777" w:rsidR="00ED41FD" w:rsidRPr="00D13AD8" w:rsidRDefault="00ED41FD" w:rsidP="00D13AD8">
      <w:pPr>
        <w:pStyle w:val="Body"/>
        <w:spacing w:line="360" w:lineRule="auto"/>
        <w:jc w:val="center"/>
        <w:rPr>
          <w:rFonts w:ascii="Times New Roman" w:eastAsia="29LT Bukra Bold" w:hAnsi="Times New Roman" w:cs="Times New Roman"/>
          <w:color w:val="000000" w:themeColor="text1"/>
          <w:sz w:val="24"/>
          <w:szCs w:val="24"/>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r w:rsidRPr="00D13AD8">
        <w:rPr>
          <w:rFonts w:ascii="Times New Roman" w:eastAsia="29LT Bukra Bold" w:hAnsi="Times New Roman" w:cs="Times New Roman"/>
          <w:color w:val="000000" w:themeColor="text1"/>
          <w:sz w:val="24"/>
          <w:szCs w:val="24"/>
          <w:u w:color="77206D"/>
          <w:lang w:val="en-US"/>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t>Design and Technology</w:t>
      </w:r>
    </w:p>
    <w:p w14:paraId="73062481" w14:textId="77777777" w:rsidR="00ED41FD" w:rsidRPr="00D13AD8" w:rsidRDefault="00ED41FD" w:rsidP="00D13AD8">
      <w:pPr>
        <w:pStyle w:val="Body"/>
        <w:spacing w:line="360" w:lineRule="auto"/>
        <w:jc w:val="center"/>
        <w:rPr>
          <w:rFonts w:ascii="Times New Roman" w:eastAsia="29LT Bukra Bold" w:hAnsi="Times New Roman" w:cs="Times New Roman"/>
          <w:color w:val="000000" w:themeColor="text1"/>
          <w:sz w:val="24"/>
          <w:szCs w:val="24"/>
          <w:u w:color="77206D"/>
          <w:lang w:val="en-US"/>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p>
    <w:p w14:paraId="4DB35DD3" w14:textId="77777777" w:rsidR="00ED41FD" w:rsidRPr="00D13AD8" w:rsidRDefault="00ED41FD" w:rsidP="00D13AD8">
      <w:pPr>
        <w:pStyle w:val="Body"/>
        <w:spacing w:line="360" w:lineRule="auto"/>
        <w:jc w:val="center"/>
        <w:rPr>
          <w:rFonts w:ascii="Times New Roman" w:eastAsia="29LT Bukra Bold" w:hAnsi="Times New Roman" w:cs="Times New Roman"/>
          <w:color w:val="000000" w:themeColor="text1"/>
          <w:sz w:val="24"/>
          <w:szCs w:val="24"/>
          <w:lang w:val="en-US"/>
        </w:rPr>
      </w:pPr>
    </w:p>
    <w:p w14:paraId="75235652" w14:textId="77777777" w:rsidR="00ED41FD" w:rsidRPr="00D13AD8" w:rsidRDefault="00ED41FD" w:rsidP="00D13AD8">
      <w:pPr>
        <w:pStyle w:val="Body"/>
        <w:spacing w:line="360" w:lineRule="auto"/>
        <w:jc w:val="center"/>
        <w:rPr>
          <w:rFonts w:ascii="Times New Roman" w:hAnsi="Times New Roman" w:cs="Times New Roman"/>
          <w:color w:val="000000" w:themeColor="text1"/>
          <w:sz w:val="24"/>
          <w:szCs w:val="24"/>
          <w:lang w:val="en-US"/>
        </w:rPr>
      </w:pPr>
      <w:r w:rsidRPr="00D13AD8">
        <w:rPr>
          <w:rFonts w:ascii="Times New Roman" w:hAnsi="Times New Roman" w:cs="Times New Roman"/>
          <w:color w:val="000000" w:themeColor="text1"/>
          <w:sz w:val="24"/>
          <w:szCs w:val="24"/>
          <w:lang w:val="en-US"/>
        </w:rPr>
        <w:t xml:space="preserve">Learning Analytics </w:t>
      </w:r>
    </w:p>
    <w:p w14:paraId="67B36C7E" w14:textId="77777777" w:rsidR="00ED41FD" w:rsidRPr="00D13AD8" w:rsidRDefault="00ED41FD" w:rsidP="00D13AD8">
      <w:pPr>
        <w:pStyle w:val="Body"/>
        <w:spacing w:line="360" w:lineRule="auto"/>
        <w:jc w:val="center"/>
        <w:rPr>
          <w:rFonts w:ascii="Times New Roman" w:hAnsi="Times New Roman" w:cs="Times New Roman"/>
          <w:color w:val="000000" w:themeColor="text1"/>
          <w:sz w:val="24"/>
          <w:szCs w:val="24"/>
          <w:lang w:val="en-US"/>
        </w:rPr>
      </w:pPr>
    </w:p>
    <w:p w14:paraId="6955FC68" w14:textId="77777777" w:rsidR="00ED41FD" w:rsidRPr="00D13AD8" w:rsidRDefault="00ED41FD" w:rsidP="00D13AD8">
      <w:pPr>
        <w:pStyle w:val="Body"/>
        <w:spacing w:line="360" w:lineRule="auto"/>
        <w:jc w:val="center"/>
        <w:rPr>
          <w:rFonts w:ascii="Times New Roman" w:hAnsi="Times New Roman" w:cs="Times New Roman"/>
          <w:color w:val="000000" w:themeColor="text1"/>
          <w:sz w:val="24"/>
          <w:szCs w:val="24"/>
          <w:lang w:val="en-US"/>
        </w:rPr>
      </w:pPr>
      <w:r w:rsidRPr="00D13AD8">
        <w:rPr>
          <w:rFonts w:ascii="Times New Roman" w:hAnsi="Times New Roman" w:cs="Times New Roman"/>
          <w:color w:val="000000" w:themeColor="text1"/>
          <w:sz w:val="24"/>
          <w:szCs w:val="24"/>
          <w:lang w:val="en-US"/>
        </w:rPr>
        <w:t>(Spring 2026) sec. 01</w:t>
      </w:r>
    </w:p>
    <w:p w14:paraId="600C97CE" w14:textId="12EF057C" w:rsidR="001B29DE" w:rsidRPr="00D13AD8" w:rsidRDefault="001B29DE" w:rsidP="00D13AD8">
      <w:pPr>
        <w:spacing w:line="360" w:lineRule="auto"/>
        <w:jc w:val="center"/>
        <w:outlineLvl w:val="0"/>
        <w:rPr>
          <w:rFonts w:ascii="Times New Roman" w:hAnsi="Times New Roman" w:cs="Times New Roman"/>
        </w:rPr>
      </w:pPr>
      <w:r w:rsidRPr="00D13AD8">
        <w:rPr>
          <w:rFonts w:ascii="Times New Roman" w:hAnsi="Times New Roman" w:cs="Times New Roman"/>
        </w:rPr>
        <w:t>EDLD 607</w:t>
      </w:r>
    </w:p>
    <w:p w14:paraId="53C8C6A5" w14:textId="24DC007B" w:rsidR="00ED41FD" w:rsidRPr="00D13AD8" w:rsidRDefault="00ED41FD" w:rsidP="00D13AD8">
      <w:pPr>
        <w:spacing w:line="360" w:lineRule="auto"/>
        <w:jc w:val="center"/>
        <w:outlineLvl w:val="0"/>
        <w:rPr>
          <w:rFonts w:ascii="Times New Roman" w:hAnsi="Times New Roman" w:cs="Times New Roman"/>
          <w:color w:val="000000" w:themeColor="text1"/>
          <w:u w:color="000000"/>
          <w14:textOutline w14:w="0" w14:cap="flat" w14:cmpd="sng" w14:algn="ctr">
            <w14:noFill/>
            <w14:prstDash w14:val="solid"/>
            <w14:bevel/>
          </w14:textOutline>
        </w:rPr>
      </w:pPr>
      <w:r w:rsidRPr="00D13AD8">
        <w:rPr>
          <w:rFonts w:ascii="Times New Roman" w:hAnsi="Times New Roman" w:cs="Times New Roman"/>
          <w:color w:val="000000" w:themeColor="text1"/>
          <w:u w:color="000000"/>
          <w14:textOutline w14:w="0" w14:cap="flat" w14:cmpd="sng" w14:algn="ctr">
            <w14:noFill/>
            <w14:prstDash w14:val="solid"/>
            <w14:bevel/>
          </w14:textOutline>
        </w:rPr>
        <w:t>Assessment 1</w:t>
      </w:r>
    </w:p>
    <w:p w14:paraId="00D453FD" w14:textId="48BA27F2" w:rsidR="001B29DE" w:rsidRPr="00D13AD8" w:rsidRDefault="001B29DE" w:rsidP="00D13AD8">
      <w:pPr>
        <w:pStyle w:val="Body1"/>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Aptos Display" w:hAnsi="Times New Roman" w:cs="Times New Roman"/>
          <w:color w:val="000000" w:themeColor="text1"/>
          <w:bdr w:val="none" w:sz="0" w:space="0" w:color="auto"/>
          <w:lang w:val="en-AE"/>
          <w14:ligatures w14:val="standardContextual"/>
        </w:rPr>
      </w:pPr>
      <w:r w:rsidRPr="00D13AD8">
        <w:rPr>
          <w:rFonts w:ascii="Times New Roman" w:eastAsia="Aptos Display" w:hAnsi="Times New Roman" w:cs="Times New Roman"/>
          <w:color w:val="000000" w:themeColor="text1"/>
          <w:bdr w:val="none" w:sz="0" w:space="0" w:color="auto"/>
          <w:lang w:val="en-AE"/>
          <w14:ligatures w14:val="standardContextual"/>
        </w:rPr>
        <w:t>Critique</w:t>
      </w:r>
    </w:p>
    <w:p w14:paraId="47266B0F" w14:textId="77777777" w:rsidR="00D13AD8" w:rsidRPr="00D13AD8" w:rsidRDefault="00D13AD8" w:rsidP="00D13AD8">
      <w:pPr>
        <w:pStyle w:val="Body1"/>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Aptos Display" w:hAnsi="Times New Roman" w:cs="Times New Roman"/>
          <w:color w:val="000000" w:themeColor="text1"/>
          <w:bdr w:val="none" w:sz="0" w:space="0" w:color="auto"/>
          <w:lang w:val="en-AE"/>
          <w14:ligatures w14:val="standardContextual"/>
        </w:rPr>
      </w:pPr>
    </w:p>
    <w:p w14:paraId="5428D076" w14:textId="77777777" w:rsidR="00ED41FD" w:rsidRPr="00D13AD8" w:rsidRDefault="00ED41FD" w:rsidP="00D13AD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lang w:val="en-US"/>
        </w:rPr>
      </w:pPr>
      <w:r w:rsidRPr="00D13AD8">
        <w:rPr>
          <w:rFonts w:ascii="Times New Roman" w:eastAsia="29LT Bukra Bold" w:hAnsi="Times New Roman" w:cs="Times New Roman"/>
          <w:color w:val="000000" w:themeColor="text1"/>
          <w:sz w:val="24"/>
          <w:szCs w:val="24"/>
          <w:u w:color="595959"/>
          <w:lang w:val="en-US"/>
        </w:rPr>
        <w:t>Submitted To</w:t>
      </w:r>
    </w:p>
    <w:p w14:paraId="6D8F92C3" w14:textId="27E5FF1C" w:rsidR="00ED41FD" w:rsidRPr="00D13AD8" w:rsidRDefault="00ED41FD" w:rsidP="00D13AD8">
      <w:pPr>
        <w:spacing w:line="360" w:lineRule="auto"/>
        <w:jc w:val="center"/>
        <w:rPr>
          <w:rFonts w:ascii="Times New Roman" w:eastAsia="Aptos Display" w:hAnsi="Times New Roman" w:cs="Times New Roman"/>
          <w:color w:val="000000" w:themeColor="text1"/>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pPr>
      <w:r w:rsidRPr="00D13AD8">
        <w:rPr>
          <w:rFonts w:ascii="Times New Roman" w:eastAsia="Aptos Display" w:hAnsi="Times New Roman" w:cs="Times New Roman"/>
          <w:color w:val="000000" w:themeColor="text1"/>
          <w:u w:color="77206D"/>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rPr>
        <w:t>Dr. Hasan Kettaneh</w:t>
      </w:r>
    </w:p>
    <w:p w14:paraId="37FE21A0" w14:textId="14C3A694" w:rsidR="00ED41FD" w:rsidRPr="00D13AD8" w:rsidRDefault="00ED41FD" w:rsidP="00D13AD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rPr>
      </w:pPr>
      <w:r w:rsidRPr="00D13AD8">
        <w:rPr>
          <w:rFonts w:ascii="Times New Roman" w:eastAsia="29LT Bukra Bold" w:hAnsi="Times New Roman" w:cs="Times New Roman"/>
          <w:color w:val="000000" w:themeColor="text1"/>
          <w:sz w:val="24"/>
          <w:szCs w:val="24"/>
          <w:u w:color="595959"/>
          <w:lang w:val="en-US"/>
        </w:rPr>
        <w:t xml:space="preserve">Done by: </w:t>
      </w:r>
      <w:r w:rsidRPr="00D13AD8">
        <w:rPr>
          <w:rFonts w:ascii="Times New Roman" w:eastAsia="29LT Bukra Bold" w:hAnsi="Times New Roman" w:cs="Times New Roman"/>
          <w:color w:val="000000" w:themeColor="text1"/>
          <w:sz w:val="24"/>
          <w:szCs w:val="24"/>
          <w:u w:color="595959"/>
          <w:lang w:val="en-US"/>
        </w:rPr>
        <w:t>Hanadi Khaled</w:t>
      </w:r>
    </w:p>
    <w:p w14:paraId="2B5CC86C" w14:textId="7BC33D71" w:rsidR="00ED41FD" w:rsidRPr="00D13AD8" w:rsidRDefault="00ED41FD" w:rsidP="00D13AD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29LT Bukra Bold" w:hAnsi="Times New Roman" w:cs="Times New Roman"/>
          <w:color w:val="000000" w:themeColor="text1"/>
          <w:sz w:val="24"/>
          <w:szCs w:val="24"/>
          <w:u w:color="595959"/>
          <w:lang w:val="en-US"/>
        </w:rPr>
      </w:pPr>
      <w:r w:rsidRPr="00D13AD8">
        <w:rPr>
          <w:rFonts w:ascii="Times New Roman" w:eastAsia="29LT Bukra Bold" w:hAnsi="Times New Roman" w:cs="Times New Roman"/>
          <w:color w:val="000000" w:themeColor="text1"/>
          <w:sz w:val="24"/>
          <w:szCs w:val="24"/>
          <w:u w:color="595959"/>
          <w:lang w:val="en-US"/>
        </w:rPr>
        <w:t>Student ID:</w:t>
      </w:r>
      <w:r w:rsidRPr="00D13AD8">
        <w:rPr>
          <w:rFonts w:ascii="Times New Roman" w:hAnsi="Times New Roman" w:cs="Times New Roman"/>
          <w:color w:val="000000" w:themeColor="text1"/>
          <w:sz w:val="24"/>
          <w:szCs w:val="24"/>
          <w:u w:color="595959"/>
        </w:rPr>
        <w:t xml:space="preserve"> </w:t>
      </w:r>
      <w:r w:rsidRPr="00D13AD8">
        <w:rPr>
          <w:rFonts w:ascii="Times New Roman" w:eastAsia="29LT Bukra Bold" w:hAnsi="Times New Roman" w:cs="Times New Roman"/>
          <w:color w:val="000000" w:themeColor="text1"/>
          <w:sz w:val="24"/>
          <w:szCs w:val="24"/>
          <w:u w:color="595959"/>
          <w:lang w:val="en-US"/>
        </w:rPr>
        <w:t>2001172</w:t>
      </w:r>
      <w:r w:rsidRPr="00D13AD8">
        <w:rPr>
          <w:rFonts w:ascii="Times New Roman" w:eastAsia="29LT Bukra Bold" w:hAnsi="Times New Roman" w:cs="Times New Roman"/>
          <w:color w:val="000000" w:themeColor="text1"/>
          <w:sz w:val="24"/>
          <w:szCs w:val="24"/>
          <w:u w:color="595959"/>
          <w:lang w:val="en-US"/>
        </w:rPr>
        <w:t>76</w:t>
      </w:r>
    </w:p>
    <w:p w14:paraId="07DBF0C8" w14:textId="77777777" w:rsidR="00ED41FD" w:rsidRPr="00D13AD8" w:rsidRDefault="00ED41FD" w:rsidP="00D13AD8">
      <w:pPr>
        <w:spacing w:line="360" w:lineRule="auto"/>
        <w:jc w:val="center"/>
        <w:rPr>
          <w:rFonts w:ascii="Times New Roman" w:hAnsi="Times New Roman" w:cs="Times New Roman"/>
          <w:lang w:val="en-US"/>
        </w:rPr>
      </w:pPr>
    </w:p>
    <w:p w14:paraId="69113782" w14:textId="77777777" w:rsidR="00ED41FD" w:rsidRPr="00D13AD8" w:rsidRDefault="00ED41FD" w:rsidP="00D13AD8">
      <w:pPr>
        <w:spacing w:line="360" w:lineRule="auto"/>
        <w:jc w:val="center"/>
        <w:rPr>
          <w:rFonts w:ascii="Times New Roman" w:hAnsi="Times New Roman" w:cs="Times New Roman"/>
          <w:lang w:val="en-US"/>
        </w:rPr>
      </w:pPr>
    </w:p>
    <w:p w14:paraId="032D540D" w14:textId="77777777" w:rsidR="00ED41FD" w:rsidRPr="00D13AD8" w:rsidRDefault="00ED41FD" w:rsidP="00D13AD8">
      <w:pPr>
        <w:spacing w:line="360" w:lineRule="auto"/>
        <w:jc w:val="center"/>
        <w:rPr>
          <w:rFonts w:ascii="Times New Roman" w:hAnsi="Times New Roman" w:cs="Times New Roman"/>
          <w:lang w:val="en-US"/>
        </w:rPr>
      </w:pPr>
    </w:p>
    <w:p w14:paraId="31A92117" w14:textId="60790CC5" w:rsidR="00ED41FD" w:rsidRPr="00D13AD8" w:rsidRDefault="00ED41FD" w:rsidP="00D13AD8">
      <w:pPr>
        <w:spacing w:line="360" w:lineRule="auto"/>
        <w:jc w:val="center"/>
        <w:rPr>
          <w:rFonts w:ascii="Times New Roman" w:hAnsi="Times New Roman" w:cs="Times New Roman"/>
          <w:lang w:val="en-US"/>
        </w:rPr>
      </w:pPr>
      <w:r w:rsidRPr="00D13AD8">
        <w:rPr>
          <w:rFonts w:ascii="Times New Roman" w:hAnsi="Times New Roman" w:cs="Times New Roman"/>
          <w:lang w:val="en-US"/>
        </w:rPr>
        <w:t>15. February. 2026</w:t>
      </w:r>
    </w:p>
    <w:p w14:paraId="2EB8EA05" w14:textId="06F6821C" w:rsidR="00D13AD8" w:rsidRPr="00D13AD8" w:rsidRDefault="00C6625C" w:rsidP="00D13AD8">
      <w:pPr>
        <w:spacing w:line="360" w:lineRule="auto"/>
        <w:rPr>
          <w:rFonts w:ascii="Times New Roman" w:hAnsi="Times New Roman" w:cs="Times New Roman"/>
          <w:b/>
          <w:bCs/>
        </w:rPr>
      </w:pPr>
      <w:r w:rsidRPr="00D13AD8">
        <w:rPr>
          <w:rFonts w:ascii="Times New Roman" w:hAnsi="Times New Roman" w:cs="Times New Roman"/>
          <w:b/>
          <w:bCs/>
        </w:rPr>
        <w:lastRenderedPageBreak/>
        <w:t xml:space="preserve">The context and Overview of the Dataset. </w:t>
      </w:r>
    </w:p>
    <w:p w14:paraId="33472387"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The data consists of the engagement and academic performance indicators retrieved in the Learning Management System (LMS) of a group of twenty-five students. Records are associated with each learner (unit of analysis), of which Student ID is used to identify them. It is represented by three main types of variables (a) the metrics of behavioural engagement (the frequency of LMS logins, the average time spent using the LMS per week, the average time at forums); (b) academic performance indicators (quiz average, Assignment 1, Assignment 2); (c) the final course status (Pass, Borderline, At Risk). </w:t>
      </w:r>
    </w:p>
    <w:p w14:paraId="43E7EE42"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The outcome of the analysis of this dataset is to examine the connection between measurable digital behaviours and academic performance, and, in addition, determine the extent to which such information can be used to guide the design of instructions and institutional decision-making. In particular, the dataset helps one to research the following research questions:</w:t>
      </w:r>
    </w:p>
    <w:p w14:paraId="6DC307D3"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 (1) What patterns of engagement distinguishes successful learners and at-risk learners? </w:t>
      </w:r>
    </w:p>
    <w:p w14:paraId="78E9B8EE"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(2) Do behavioural signs that predict academic underperformance exist? </w:t>
      </w:r>
    </w:p>
    <w:p w14:paraId="76E5A278"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(3) What can analytic insights help to do to prompt intervention plans? </w:t>
      </w:r>
    </w:p>
    <w:p w14:paraId="69C410B6"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Learning analytics denote the intentional exploitation of the data produced by learners to enhance comprehension of the learning procedures as well as to optimise learning settings (Siemens and Baker, 2012). In that regard, the dataset offers a systematic point of departure when it comes to the application of descriptive, diagnostic, predictive, and prescriptive analytics methods in a sequential, theory-informed way. Information Quality and constraints. </w:t>
      </w:r>
    </w:p>
    <w:p w14:paraId="2C32CCBB" w14:textId="77777777" w:rsidR="00C6625C" w:rsidRPr="00D13AD8" w:rsidRDefault="00C6625C" w:rsidP="00D13AD8">
      <w:pPr>
        <w:spacing w:line="360" w:lineRule="auto"/>
        <w:rPr>
          <w:rFonts w:ascii="Times New Roman" w:hAnsi="Times New Roman" w:cs="Times New Roman"/>
          <w:b/>
          <w:bCs/>
        </w:rPr>
      </w:pPr>
      <w:r w:rsidRPr="00D13AD8">
        <w:rPr>
          <w:rFonts w:ascii="Times New Roman" w:hAnsi="Times New Roman" w:cs="Times New Roman"/>
          <w:b/>
          <w:bCs/>
        </w:rPr>
        <w:t>Data Quality Assessment</w:t>
      </w:r>
    </w:p>
    <w:p w14:paraId="3A410066" w14:textId="77777777"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The preliminary examination shows that there are no missing data, redundancies, or irregular numerical presentation in the dataset. The engagement indicators used differ in range of ten to fifty five logins in LMS and 1.8 to 7.5 hours of weekly usage. The results of performance in academics stand between forty and ninety two percent in the average of quiz scores. These numbers seem internally consistent and realistic, implying the acceptability of data integrity. But the data set does not seem to be longitudinal but it is aggregated. There is no time-series </w:t>
      </w:r>
      <w:r w:rsidRPr="00D13AD8">
        <w:rPr>
          <w:rFonts w:ascii="Times New Roman" w:hAnsi="Times New Roman" w:cs="Times New Roman"/>
        </w:rPr>
        <w:lastRenderedPageBreak/>
        <w:t>development, which excludes analysis of the engagement development during the course period. Analytical Limitations</w:t>
      </w:r>
    </w:p>
    <w:p w14:paraId="00A5E5DD" w14:textId="6AB91C26"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w:t>
      </w:r>
      <w:r w:rsidRPr="00D13AD8">
        <w:rPr>
          <w:rFonts w:ascii="Times New Roman" w:hAnsi="Times New Roman" w:cs="Times New Roman"/>
        </w:rPr>
        <w:t xml:space="preserve">First, statistical inference is limited by the size of the cohort (n 25). Patterns observed as such should not then be generalised. </w:t>
      </w:r>
    </w:p>
    <w:p w14:paraId="6E604994" w14:textId="5A79C880"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w:t>
      </w:r>
      <w:r w:rsidRPr="00D13AD8">
        <w:rPr>
          <w:rFonts w:ascii="Times New Roman" w:hAnsi="Times New Roman" w:cs="Times New Roman"/>
        </w:rPr>
        <w:t>Second, the information used in the data set does not include background variables, including previous performance, school attendance, or socio-demographic. This means that explanatory claims should be tentative, which acknowledge that behavioural involvement will be in interaction with unmeasured factors.</w:t>
      </w:r>
    </w:p>
    <w:p w14:paraId="43755E07" w14:textId="0D0DC985"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w:t>
      </w:r>
      <w:r w:rsidRPr="00D13AD8">
        <w:rPr>
          <w:rFonts w:ascii="Times New Roman" w:hAnsi="Times New Roman" w:cs="Times New Roman"/>
        </w:rPr>
        <w:t>Third, the definition of operational definition of Pass, Borderline and At Risk is not clearly stated. It is interpreted however through an assumed performance based categorisation even though institutional threshold criteria have not been checked.</w:t>
      </w:r>
    </w:p>
    <w:p w14:paraId="2BB3B1A9" w14:textId="6650C3D3" w:rsidR="003E65B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These limitations support one of the key concepts of learning analytics: data patterns provide information to make a conclusion but do not create causation or pedagogical facts itself (Gasevic et al., 2015).</w:t>
      </w:r>
    </w:p>
    <w:p w14:paraId="39ACD18D" w14:textId="77777777" w:rsidR="00ED41FD" w:rsidRPr="00D13AD8" w:rsidRDefault="00C6625C" w:rsidP="00D13AD8">
      <w:pPr>
        <w:spacing w:line="360" w:lineRule="auto"/>
        <w:rPr>
          <w:rFonts w:ascii="Times New Roman" w:hAnsi="Times New Roman" w:cs="Times New Roman"/>
          <w:b/>
          <w:bCs/>
        </w:rPr>
      </w:pPr>
      <w:r w:rsidRPr="00D13AD8">
        <w:rPr>
          <w:rFonts w:ascii="Times New Roman" w:hAnsi="Times New Roman" w:cs="Times New Roman"/>
          <w:b/>
          <w:bCs/>
        </w:rPr>
        <w:t xml:space="preserve">Hypotheses of Learning Analytics. </w:t>
      </w:r>
    </w:p>
    <w:p w14:paraId="0A3B5A96" w14:textId="77777777" w:rsidR="00D13AD8" w:rsidRPr="00D13AD8" w:rsidRDefault="00D13AD8" w:rsidP="00D13AD8">
      <w:pPr>
        <w:spacing w:line="360" w:lineRule="auto"/>
        <w:rPr>
          <w:rFonts w:ascii="Times New Roman" w:hAnsi="Times New Roman" w:cs="Times New Roman"/>
          <w:b/>
          <w:bCs/>
        </w:rPr>
      </w:pPr>
    </w:p>
    <w:p w14:paraId="19D028EC" w14:textId="4DEA6679" w:rsidR="00ED41FD" w:rsidRPr="00D13AD8" w:rsidRDefault="00ED41FD" w:rsidP="00D13AD8">
      <w:pPr>
        <w:spacing w:line="360" w:lineRule="auto"/>
        <w:rPr>
          <w:rFonts w:ascii="Times New Roman" w:hAnsi="Times New Roman" w:cs="Times New Roman"/>
        </w:rPr>
      </w:pPr>
      <w:r w:rsidRPr="00D13AD8">
        <w:rPr>
          <w:rFonts w:ascii="Times New Roman" w:hAnsi="Times New Roman" w:cs="Times New Roman"/>
          <w:b/>
          <w:bCs/>
        </w:rPr>
        <w:t>A</w:t>
      </w:r>
      <w:r w:rsidR="00C6625C" w:rsidRPr="00D13AD8">
        <w:rPr>
          <w:rFonts w:ascii="Times New Roman" w:hAnsi="Times New Roman" w:cs="Times New Roman"/>
          <w:b/>
          <w:bCs/>
        </w:rPr>
        <w:t>. Descriptive Analytics: What Trends do we have</w:t>
      </w:r>
      <w:r w:rsidR="00C6625C" w:rsidRPr="00D13AD8">
        <w:rPr>
          <w:rFonts w:ascii="Times New Roman" w:hAnsi="Times New Roman" w:cs="Times New Roman"/>
        </w:rPr>
        <w:t xml:space="preserve">? There is an eminent engagement-performance gradient marked by descriptive analysis. Pass respondents are also generally characterized by a higher rate of login (usually over 40 sessions), a higher amount of time per week (about 6-7.5 hours), and better quiz and assignment marks (often above 80%). Troubled students, on the contrary, usually have a range of less than 20 logs in, less than 3 hours a week of active use, and averages less than 60 in quizzes. Distribution of results indicates that 48% of the cohort passed, 24% were borderline and 28% at risk. Engagement indicators can be cross-tabulated with final status and establish a consistent trend: the less high is the digital participation, the lower the academic performance. Although descriptive analytics cannot be considered a causal tool, they provide quantifiable relationships that warrant further investigation. </w:t>
      </w:r>
    </w:p>
    <w:p w14:paraId="7CA8F612" w14:textId="77777777" w:rsidR="00D13AD8" w:rsidRPr="00D13AD8" w:rsidRDefault="00D13AD8" w:rsidP="00D13AD8">
      <w:pPr>
        <w:spacing w:line="360" w:lineRule="auto"/>
        <w:rPr>
          <w:rFonts w:ascii="Times New Roman" w:hAnsi="Times New Roman" w:cs="Times New Roman"/>
        </w:rPr>
      </w:pPr>
    </w:p>
    <w:p w14:paraId="67B801E8" w14:textId="77777777" w:rsidR="00ED41FD"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lastRenderedPageBreak/>
        <w:t>B. Diagnostic Analytics: What Could Be the Reason of the occurrence of these patterns?</w:t>
      </w:r>
      <w:r w:rsidRPr="00D13AD8">
        <w:rPr>
          <w:rFonts w:ascii="Times New Roman" w:hAnsi="Times New Roman" w:cs="Times New Roman"/>
        </w:rPr>
        <w:t xml:space="preserve"> Diagnostic analysis attempts to determine the relationships that may have caused the observed relationships. Relative outcome group comparison indicates that reduced LMS use can be accompanied by poor academic performance. Those students who have less than 20 sessions are overrepresented in the at risk category and decreasing forum use correlates with worse assignment results. Gap analysis identifies significant differences in the intensity of behavior of successful and struggling learners. However, one should take caution since a decrease in engagement could lead to a decrease in performance, and vice versa since lack of motivation could lead to lack of engagement. The association is thus most probably two-way as opposed to one-way. Diagnostic interpretation is also associative which highlights the necessity of understanding the diagnostic in context. </w:t>
      </w:r>
    </w:p>
    <w:p w14:paraId="0EF986F1" w14:textId="77777777" w:rsidR="00D13AD8" w:rsidRPr="00D13AD8" w:rsidRDefault="00D13AD8" w:rsidP="00D13AD8">
      <w:pPr>
        <w:spacing w:line="360" w:lineRule="auto"/>
        <w:rPr>
          <w:rFonts w:ascii="Times New Roman" w:hAnsi="Times New Roman" w:cs="Times New Roman"/>
        </w:rPr>
      </w:pPr>
    </w:p>
    <w:p w14:paraId="030A71E7" w14:textId="77777777" w:rsidR="00D13AD8"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t>C. Predictive Analytics: What Can Probably Happen?</w:t>
      </w:r>
      <w:r w:rsidRPr="00D13AD8">
        <w:rPr>
          <w:rFonts w:ascii="Times New Roman" w:hAnsi="Times New Roman" w:cs="Times New Roman"/>
        </w:rPr>
        <w:t xml:space="preserve"> </w:t>
      </w:r>
    </w:p>
    <w:p w14:paraId="19C1A3FB" w14:textId="7DE987C4" w:rsidR="00ED41FD"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Predictive analysis is further than explanation to predict what is likely to happen. The conceptual rule-based threshold was studied: students who registered less than 20 LMS logins (n = 7) were considered at risk, and students with the average of less than 3 hours a week were greatly centralized in the at risk group. This clustering even though not yet demonstrates an inferential power due to the small sample used, the suggestion is that engagement thresholds can be an early warning sign. Another logistic regression may be used to approximate the likelihood of at risk status based on the LMS logins, time spent watching the content each week, and quiz averages. Alternatively, predictive accuracy could be evaluated using a classification model in which a traintest split and a confusion matrix were used. Notably, predictive indicators are supposed to work together and not singly because that would decrease the risk of misclassification and labeling in a simplistic manner. </w:t>
      </w:r>
    </w:p>
    <w:p w14:paraId="30D5A820" w14:textId="77777777" w:rsidR="00D13AD8" w:rsidRPr="00D13AD8" w:rsidRDefault="00D13AD8" w:rsidP="00D13AD8">
      <w:pPr>
        <w:spacing w:line="360" w:lineRule="auto"/>
        <w:rPr>
          <w:rFonts w:ascii="Times New Roman" w:hAnsi="Times New Roman" w:cs="Times New Roman"/>
        </w:rPr>
      </w:pPr>
    </w:p>
    <w:p w14:paraId="5CC49DE0" w14:textId="77777777" w:rsidR="00D13AD8"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t>D. Prescriptive Analytics: What Shall Be Done?</w:t>
      </w:r>
      <w:r w:rsidRPr="00D13AD8">
        <w:rPr>
          <w:rFonts w:ascii="Times New Roman" w:hAnsi="Times New Roman" w:cs="Times New Roman"/>
        </w:rPr>
        <w:t xml:space="preserve"> </w:t>
      </w:r>
    </w:p>
    <w:p w14:paraId="40D8229E" w14:textId="12A19B04" w:rsidR="00ED41FD"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Prescriptive analytics converts predictive on into intervention plans. The rules of decisions can be activated with a triggering alarm in students with less than 20 logins and suggested organized academic assistance in case of quiz averages below 60. According to scenario modelling, the </w:t>
      </w:r>
      <w:r w:rsidRPr="00D13AD8">
        <w:rPr>
          <w:rFonts w:ascii="Times New Roman" w:hAnsi="Times New Roman" w:cs="Times New Roman"/>
        </w:rPr>
        <w:lastRenderedPageBreak/>
        <w:t xml:space="preserve">movement of results towards the borderline group is possibly possible with an increase in weekly interaction (about 2 to 5 hours a week) although these forecasts need to be empirically tested. A/B experimental design, which involves the use of automated engagement nudges versus individualized coaching, would allow the assessment of the intervention efficacy. Prescriptive decisions should be an ongoing process that is data-driven and includes continuous monitoring and evaluation of outcomes. </w:t>
      </w:r>
    </w:p>
    <w:p w14:paraId="6AC7EB7A" w14:textId="77777777" w:rsidR="00D13AD8"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t>Interpretation Interpretation Interpretation Theory</w:t>
      </w:r>
      <w:r w:rsidRPr="00D13AD8">
        <w:rPr>
          <w:rFonts w:ascii="Times New Roman" w:hAnsi="Times New Roman" w:cs="Times New Roman"/>
        </w:rPr>
        <w:t xml:space="preserve"> </w:t>
      </w:r>
    </w:p>
    <w:p w14:paraId="3B237EFD" w14:textId="01E5DFD0" w:rsidR="00ED41FD"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Learning Theory Patterns of data have an educational meaning when they are interpreted in terms of theoretical frameworks. According to behaviorist vision (Skinner, 1953), behavioral indication of observable engagement is the response to reinforcement scheme; the low rate of login could be related to the lack of feedback or motivation motives. Reinforcement loops and structured feedback mechanisms would be enhanced by a behaviorist intervention. In a cognitivist view (Anderson, 1983), time-on-task is evidence of the depth of thinking; higher levels of engagement could be helpful in providing rehearsal, elaboration and schema development. In this respect, organized scaffolding and metacognitive instructions are critical teaching methods. According to social learning theory (Bandura, 1977) the forum participation can be seen as peer modeling and cooperative knowledge building opportunities; the less the participation, the less the exposure to the socially mediated learning. Noteworthily, intervention design is defined by theoretical orientation. The behaviorist approach focuses on reinforcement; the social learning approach focuses on collaborative redesigning. Pedagogy is not determined by analytics but mediated by educational philosophy. </w:t>
      </w:r>
    </w:p>
    <w:p w14:paraId="3AADFED2" w14:textId="77777777" w:rsidR="00D13AD8" w:rsidRPr="00D13AD8" w:rsidRDefault="00D13AD8" w:rsidP="00D13AD8">
      <w:pPr>
        <w:spacing w:line="360" w:lineRule="auto"/>
        <w:rPr>
          <w:rFonts w:ascii="Times New Roman" w:hAnsi="Times New Roman" w:cs="Times New Roman"/>
        </w:rPr>
      </w:pPr>
    </w:p>
    <w:p w14:paraId="20FA4922" w14:textId="77777777" w:rsidR="00D13AD8"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t>Implications in Teaching, Learner Support and Institutional Planning.</w:t>
      </w:r>
      <w:r w:rsidRPr="00D13AD8">
        <w:rPr>
          <w:rFonts w:ascii="Times New Roman" w:hAnsi="Times New Roman" w:cs="Times New Roman"/>
        </w:rPr>
        <w:t xml:space="preserve"> </w:t>
      </w:r>
    </w:p>
    <w:p w14:paraId="2AEED6BC" w14:textId="28AD71FA" w:rsidR="00ED41FD"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At the level of teaching, the instructors can incorporate the engagement dashboards to identify the disengagement at the early stages and provide formative checkpoints throughout the course. Incentives to join the digital interaction can be used to promote long-term interaction. At learner support level, multi-indicator based early-alert system can be used to identify students in need of specific help. The focus of academic coaching, study-skills workshop and structured feedback cycles should be on learners who are identified using both a behavioral and performance </w:t>
      </w:r>
      <w:r w:rsidRPr="00D13AD8">
        <w:rPr>
          <w:rFonts w:ascii="Times New Roman" w:hAnsi="Times New Roman" w:cs="Times New Roman"/>
        </w:rPr>
        <w:lastRenderedPageBreak/>
        <w:t xml:space="preserve">indicator. At the institutional level, it is suggested to introduce standardized benchmarks of engagement and faculty education in the field of analytics literacy. Intervention effectiveness should also be determined by pre- and post-monitoring structures in institutions. Any recommendations should be able to balance between feasibility, equity and educational integrity. </w:t>
      </w:r>
    </w:p>
    <w:p w14:paraId="13C28678" w14:textId="77777777" w:rsidR="00D13AD8" w:rsidRPr="00D13AD8" w:rsidRDefault="00C6625C" w:rsidP="00D13AD8">
      <w:pPr>
        <w:spacing w:line="360" w:lineRule="auto"/>
        <w:rPr>
          <w:rFonts w:ascii="Times New Roman" w:hAnsi="Times New Roman" w:cs="Times New Roman"/>
        </w:rPr>
      </w:pPr>
      <w:r w:rsidRPr="00D13AD8">
        <w:rPr>
          <w:rFonts w:ascii="Times New Roman" w:hAnsi="Times New Roman" w:cs="Times New Roman"/>
          <w:b/>
          <w:bCs/>
        </w:rPr>
        <w:t>Ethical and Responsible Usage of Learner Information</w:t>
      </w:r>
      <w:r w:rsidRPr="00D13AD8">
        <w:rPr>
          <w:rFonts w:ascii="Times New Roman" w:hAnsi="Times New Roman" w:cs="Times New Roman"/>
        </w:rPr>
        <w:t xml:space="preserve">. </w:t>
      </w:r>
    </w:p>
    <w:p w14:paraId="32BE7E42" w14:textId="40157F54"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Skillful learning analytics practice requires the careful consideration of privacy, transparency, and bias (Slade and Prinsloo, 2013). Students should be notified about what data are being gathered, how predictive classifications are created and the effects the predictive classifications have on making decisions about interventions. Clear approval and adherence to institutional data control models are necessary. The predictive models can have false positives and false negatives and especially when dealing with small datasets, the risk of misclassification is high and can result in stigmatization of students or postponement of assistance. As a result, analytic outputs are supposed to guide the professional judgment, instead of making decisions automatically (Prinsloo &amp; Slade, 2017). The process of ethical analytics needs a human operator, regular review, and adherence to fair intervention design. </w:t>
      </w:r>
    </w:p>
    <w:p w14:paraId="5DD94F1A" w14:textId="77777777" w:rsidR="00D13AD8" w:rsidRPr="00D13AD8" w:rsidRDefault="00D13AD8" w:rsidP="00D13AD8">
      <w:pPr>
        <w:spacing w:line="360" w:lineRule="auto"/>
        <w:rPr>
          <w:rFonts w:ascii="Times New Roman" w:hAnsi="Times New Roman" w:cs="Times New Roman"/>
          <w:b/>
          <w:bCs/>
        </w:rPr>
      </w:pPr>
    </w:p>
    <w:p w14:paraId="4CA9B667" w14:textId="6019EE56" w:rsidR="00C6625C" w:rsidRPr="00D13AD8" w:rsidRDefault="00C6625C" w:rsidP="00D13AD8">
      <w:pPr>
        <w:spacing w:line="360" w:lineRule="auto"/>
        <w:rPr>
          <w:rFonts w:ascii="Times New Roman" w:hAnsi="Times New Roman" w:cs="Times New Roman"/>
          <w:b/>
          <w:bCs/>
        </w:rPr>
      </w:pPr>
      <w:r w:rsidRPr="00D13AD8">
        <w:rPr>
          <w:rFonts w:ascii="Times New Roman" w:hAnsi="Times New Roman" w:cs="Times New Roman"/>
          <w:b/>
          <w:bCs/>
        </w:rPr>
        <w:t>Reflection and Conclusion</w:t>
      </w:r>
    </w:p>
    <w:p w14:paraId="019F8F16" w14:textId="50FE73B5" w:rsidR="00C6625C" w:rsidRPr="00D13AD8" w:rsidRDefault="00C6625C" w:rsidP="00D13AD8">
      <w:pPr>
        <w:spacing w:line="360" w:lineRule="auto"/>
        <w:rPr>
          <w:rFonts w:ascii="Times New Roman" w:hAnsi="Times New Roman" w:cs="Times New Roman"/>
        </w:rPr>
      </w:pPr>
      <w:r w:rsidRPr="00D13AD8">
        <w:rPr>
          <w:rFonts w:ascii="Times New Roman" w:hAnsi="Times New Roman" w:cs="Times New Roman"/>
        </w:rPr>
        <w:t xml:space="preserve"> This discussion shows the different ways in which descriptive, diagnostic, predictive and prescriptive analytics are dependent layers of inquiry. This can be observed over time and thus it is foundational; it can be diagnostic to explore relational patterns; predictive to estimate risk; and be prescriptive in offering targeted action. Nevertheless, the data is limited in terms of scope, which limits causal inference and generalization. Learning analytics have significant potential to aid the educational decision making, but its use will require theoretical foundation, ethical governance and reflective usage. When learner data is viewed critically and responsibly, it can make education practice better, rather than more mechanized.</w:t>
      </w:r>
    </w:p>
    <w:p w14:paraId="5BEEF2B5" w14:textId="77777777" w:rsidR="00C6625C" w:rsidRPr="00D13AD8" w:rsidRDefault="00C6625C" w:rsidP="00D13AD8">
      <w:pPr>
        <w:spacing w:line="360" w:lineRule="auto"/>
        <w:rPr>
          <w:rFonts w:ascii="Times New Roman" w:hAnsi="Times New Roman" w:cs="Times New Roman"/>
        </w:rPr>
      </w:pPr>
    </w:p>
    <w:p w14:paraId="660D1E9C" w14:textId="77777777" w:rsidR="00D13AD8" w:rsidRPr="00D13AD8" w:rsidRDefault="00D13AD8" w:rsidP="00D13AD8">
      <w:pPr>
        <w:spacing w:line="360" w:lineRule="auto"/>
        <w:rPr>
          <w:rFonts w:ascii="Times New Roman" w:hAnsi="Times New Roman" w:cs="Times New Roman"/>
        </w:rPr>
      </w:pPr>
    </w:p>
    <w:p w14:paraId="0AEA8129" w14:textId="77777777" w:rsidR="00D13AD8" w:rsidRPr="00D13AD8" w:rsidRDefault="00D13AD8" w:rsidP="00D13AD8">
      <w:pPr>
        <w:spacing w:line="360" w:lineRule="auto"/>
        <w:rPr>
          <w:rFonts w:ascii="Times New Roman" w:hAnsi="Times New Roman" w:cs="Times New Roman"/>
        </w:rPr>
      </w:pPr>
    </w:p>
    <w:p w14:paraId="2F15128C" w14:textId="77777777" w:rsidR="00D13AD8" w:rsidRPr="00D13AD8" w:rsidRDefault="00D13AD8" w:rsidP="00D13AD8">
      <w:pPr>
        <w:spacing w:line="360" w:lineRule="auto"/>
        <w:rPr>
          <w:rFonts w:ascii="Times New Roman" w:hAnsi="Times New Roman" w:cs="Times New Roman"/>
        </w:rPr>
      </w:pPr>
    </w:p>
    <w:p w14:paraId="3E34AD58" w14:textId="77777777" w:rsidR="003E65BC" w:rsidRPr="00D13AD8" w:rsidRDefault="003E65BC" w:rsidP="00D13AD8">
      <w:pPr>
        <w:spacing w:line="360" w:lineRule="auto"/>
        <w:rPr>
          <w:rFonts w:ascii="Times New Roman" w:hAnsi="Times New Roman" w:cs="Times New Roman"/>
          <w:b/>
          <w:bCs/>
        </w:rPr>
      </w:pPr>
      <w:r w:rsidRPr="00D13AD8">
        <w:rPr>
          <w:rFonts w:ascii="Times New Roman" w:hAnsi="Times New Roman" w:cs="Times New Roman"/>
          <w:b/>
          <w:bCs/>
        </w:rPr>
        <w:t>References</w:t>
      </w:r>
    </w:p>
    <w:p w14:paraId="05EAE1FD"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Anderson, J. R. (1983). </w:t>
      </w:r>
      <w:r w:rsidRPr="00ED41FD">
        <w:rPr>
          <w:rFonts w:ascii="Times New Roman" w:eastAsia="Times New Roman" w:hAnsi="Times New Roman" w:cs="Times New Roman"/>
          <w:i/>
          <w:iCs/>
          <w:color w:val="000000"/>
          <w:kern w:val="0"/>
          <w14:ligatures w14:val="none"/>
        </w:rPr>
        <w:t>The architecture of cognition</w:t>
      </w:r>
      <w:r w:rsidRPr="00ED41FD">
        <w:rPr>
          <w:rFonts w:ascii="Times New Roman" w:eastAsia="Times New Roman" w:hAnsi="Times New Roman" w:cs="Times New Roman"/>
          <w:color w:val="000000"/>
          <w:kern w:val="0"/>
          <w14:ligatures w14:val="none"/>
        </w:rPr>
        <w:t>. Harvard University Press.</w:t>
      </w:r>
    </w:p>
    <w:p w14:paraId="1EEC524C"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Bandura, A. (1977). </w:t>
      </w:r>
      <w:r w:rsidRPr="00ED41FD">
        <w:rPr>
          <w:rFonts w:ascii="Times New Roman" w:eastAsia="Times New Roman" w:hAnsi="Times New Roman" w:cs="Times New Roman"/>
          <w:i/>
          <w:iCs/>
          <w:color w:val="000000"/>
          <w:kern w:val="0"/>
          <w14:ligatures w14:val="none"/>
        </w:rPr>
        <w:t>Social learning theory</w:t>
      </w:r>
      <w:r w:rsidRPr="00ED41FD">
        <w:rPr>
          <w:rFonts w:ascii="Times New Roman" w:eastAsia="Times New Roman" w:hAnsi="Times New Roman" w:cs="Times New Roman"/>
          <w:color w:val="000000"/>
          <w:kern w:val="0"/>
          <w14:ligatures w14:val="none"/>
        </w:rPr>
        <w:t>. Prentice Hall.</w:t>
      </w:r>
    </w:p>
    <w:p w14:paraId="6B1DE79A"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Gašević, D., Dawson, S., &amp; Siemens, G. (2015). Let’s not forget: Learning analytics are about learning. </w:t>
      </w:r>
      <w:r w:rsidRPr="00ED41FD">
        <w:rPr>
          <w:rFonts w:ascii="Times New Roman" w:eastAsia="Times New Roman" w:hAnsi="Times New Roman" w:cs="Times New Roman"/>
          <w:i/>
          <w:iCs/>
          <w:color w:val="000000"/>
          <w:kern w:val="0"/>
          <w14:ligatures w14:val="none"/>
        </w:rPr>
        <w:t>TechTrends, 59</w:t>
      </w:r>
      <w:r w:rsidRPr="00ED41FD">
        <w:rPr>
          <w:rFonts w:ascii="Times New Roman" w:eastAsia="Times New Roman" w:hAnsi="Times New Roman" w:cs="Times New Roman"/>
          <w:color w:val="000000"/>
          <w:kern w:val="0"/>
          <w14:ligatures w14:val="none"/>
        </w:rPr>
        <w:t>(1), 64–71. </w:t>
      </w:r>
      <w:hyperlink r:id="rId7" w:tgtFrame="_new" w:history="1">
        <w:r w:rsidRPr="00ED41FD">
          <w:rPr>
            <w:rFonts w:ascii="Times New Roman" w:eastAsia="Times New Roman" w:hAnsi="Times New Roman" w:cs="Times New Roman"/>
            <w:color w:val="0000FF"/>
            <w:kern w:val="0"/>
            <w:u w:val="single"/>
            <w14:ligatures w14:val="none"/>
          </w:rPr>
          <w:t>https://doi.org/10.1007/s11528-014-0822-x</w:t>
        </w:r>
      </w:hyperlink>
    </w:p>
    <w:p w14:paraId="754AEF69"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Prinsloo, P., &amp; Slade, S. (2017). An elephant in the learning analytics room: The obligation to act. </w:t>
      </w:r>
      <w:r w:rsidRPr="00ED41FD">
        <w:rPr>
          <w:rFonts w:ascii="Times New Roman" w:eastAsia="Times New Roman" w:hAnsi="Times New Roman" w:cs="Times New Roman"/>
          <w:i/>
          <w:iCs/>
          <w:color w:val="000000"/>
          <w:kern w:val="0"/>
          <w14:ligatures w14:val="none"/>
        </w:rPr>
        <w:t>Proceedings of the Seventh International Learning Analytics &amp; Knowledge Conference</w:t>
      </w:r>
      <w:r w:rsidRPr="00ED41FD">
        <w:rPr>
          <w:rFonts w:ascii="Times New Roman" w:eastAsia="Times New Roman" w:hAnsi="Times New Roman" w:cs="Times New Roman"/>
          <w:color w:val="000000"/>
          <w:kern w:val="0"/>
          <w14:ligatures w14:val="none"/>
        </w:rPr>
        <w:t>, 46–55. https://doi.org/10.1145/3027385.3027406</w:t>
      </w:r>
    </w:p>
    <w:p w14:paraId="56CF81B5"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Siemens, G., &amp; Baker, R. S. J. d. (2012). Learning analytics and educational data mining: Towards communication and collaboration. </w:t>
      </w:r>
      <w:r w:rsidRPr="00ED41FD">
        <w:rPr>
          <w:rFonts w:ascii="Times New Roman" w:eastAsia="Times New Roman" w:hAnsi="Times New Roman" w:cs="Times New Roman"/>
          <w:i/>
          <w:iCs/>
          <w:color w:val="000000"/>
          <w:kern w:val="0"/>
          <w14:ligatures w14:val="none"/>
        </w:rPr>
        <w:t>Proceedings of the 2nd International Conference on Learning Analytics and Knowledge</w:t>
      </w:r>
      <w:r w:rsidRPr="00ED41FD">
        <w:rPr>
          <w:rFonts w:ascii="Times New Roman" w:eastAsia="Times New Roman" w:hAnsi="Times New Roman" w:cs="Times New Roman"/>
          <w:color w:val="000000"/>
          <w:kern w:val="0"/>
          <w14:ligatures w14:val="none"/>
        </w:rPr>
        <w:t>, 252–254. https://doi.org/10.1145/2330601.2330661</w:t>
      </w:r>
    </w:p>
    <w:p w14:paraId="71AFF29D" w14:textId="77777777" w:rsidR="003E65BC"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Skinner, B. F. (1953). </w:t>
      </w:r>
      <w:r w:rsidRPr="00ED41FD">
        <w:rPr>
          <w:rFonts w:ascii="Times New Roman" w:eastAsia="Times New Roman" w:hAnsi="Times New Roman" w:cs="Times New Roman"/>
          <w:i/>
          <w:iCs/>
          <w:color w:val="000000"/>
          <w:kern w:val="0"/>
          <w14:ligatures w14:val="none"/>
        </w:rPr>
        <w:t>Science and human behavior</w:t>
      </w:r>
      <w:r w:rsidRPr="00ED41FD">
        <w:rPr>
          <w:rFonts w:ascii="Times New Roman" w:eastAsia="Times New Roman" w:hAnsi="Times New Roman" w:cs="Times New Roman"/>
          <w:color w:val="000000"/>
          <w:kern w:val="0"/>
          <w14:ligatures w14:val="none"/>
        </w:rPr>
        <w:t>. Macmillan.</w:t>
      </w:r>
    </w:p>
    <w:p w14:paraId="776548EC" w14:textId="0FD2C93D" w:rsidR="006A6DFF" w:rsidRPr="00ED41FD" w:rsidRDefault="003E65BC" w:rsidP="003E65BC">
      <w:pPr>
        <w:spacing w:before="100" w:beforeAutospacing="1" w:after="100" w:afterAutospacing="1" w:line="240" w:lineRule="auto"/>
        <w:rPr>
          <w:rFonts w:ascii="Times New Roman" w:eastAsia="Times New Roman" w:hAnsi="Times New Roman" w:cs="Times New Roman"/>
          <w:color w:val="000000"/>
          <w:kern w:val="0"/>
          <w14:ligatures w14:val="none"/>
        </w:rPr>
      </w:pPr>
      <w:r w:rsidRPr="00ED41FD">
        <w:rPr>
          <w:rFonts w:ascii="Times New Roman" w:eastAsia="Times New Roman" w:hAnsi="Times New Roman" w:cs="Times New Roman"/>
          <w:color w:val="000000"/>
          <w:kern w:val="0"/>
          <w14:ligatures w14:val="none"/>
        </w:rPr>
        <w:t>Slade, S., &amp; Prinsloo, P. (2013). Learning analytics: Ethical issues and dilemmas. </w:t>
      </w:r>
      <w:r w:rsidRPr="00ED41FD">
        <w:rPr>
          <w:rFonts w:ascii="Times New Roman" w:eastAsia="Times New Roman" w:hAnsi="Times New Roman" w:cs="Times New Roman"/>
          <w:i/>
          <w:iCs/>
          <w:color w:val="000000"/>
          <w:kern w:val="0"/>
          <w14:ligatures w14:val="none"/>
        </w:rPr>
        <w:t>American Behavioral Scientist, 57</w:t>
      </w:r>
      <w:r w:rsidRPr="00ED41FD">
        <w:rPr>
          <w:rFonts w:ascii="Times New Roman" w:eastAsia="Times New Roman" w:hAnsi="Times New Roman" w:cs="Times New Roman"/>
          <w:color w:val="000000"/>
          <w:kern w:val="0"/>
          <w14:ligatures w14:val="none"/>
        </w:rPr>
        <w:t>(10), 1510–1529. </w:t>
      </w:r>
      <w:hyperlink r:id="rId8" w:tgtFrame="_new" w:history="1">
        <w:r w:rsidRPr="00ED41FD">
          <w:rPr>
            <w:rFonts w:ascii="Times New Roman" w:eastAsia="Times New Roman" w:hAnsi="Times New Roman" w:cs="Times New Roman"/>
            <w:color w:val="0000FF"/>
            <w:kern w:val="0"/>
            <w:u w:val="single"/>
            <w14:ligatures w14:val="none"/>
          </w:rPr>
          <w:t>https://doi.org/10.1177/0002764213479366</w:t>
        </w:r>
      </w:hyperlink>
    </w:p>
    <w:sectPr w:rsidR="006A6DFF" w:rsidRPr="00ED41FD" w:rsidSect="00D13AD8">
      <w:pgSz w:w="12240" w:h="15840"/>
      <w:pgMar w:top="1440" w:right="1440" w:bottom="1440" w:left="1440" w:header="709" w:footer="709" w:gutter="0"/>
      <w:pgBorders w:offsetFrom="page">
        <w:top w:val="thinThickThinLargeGap" w:sz="24" w:space="24" w:color="404040" w:themeColor="text1" w:themeTint="BF"/>
        <w:left w:val="thinThickThinLargeGap" w:sz="24" w:space="24" w:color="404040" w:themeColor="text1" w:themeTint="BF"/>
        <w:bottom w:val="thinThickThinLargeGap" w:sz="24" w:space="24" w:color="404040" w:themeColor="text1" w:themeTint="BF"/>
        <w:right w:val="thinThickThinLargeGap" w:sz="24" w:space="24" w:color="404040" w:themeColor="text1"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29LT Bukra Bold">
    <w:altName w:val="Arial"/>
    <w:panose1 w:val="000B0903020204020204"/>
    <w:charset w:val="00"/>
    <w:family w:val="swiss"/>
    <w:notTrueType/>
    <w:pitch w:val="variable"/>
    <w:sig w:usb0="800020AF" w:usb1="D000A05A"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29LT Bukra Regular">
    <w:altName w:val="Courier New"/>
    <w:panose1 w:val="000B0903020204020204"/>
    <w:charset w:val="B2"/>
    <w:family w:val="swiss"/>
    <w:pitch w:val="variable"/>
    <w:sig w:usb0="800020AF" w:usb1="D000A05A"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824"/>
    <w:multiLevelType w:val="multilevel"/>
    <w:tmpl w:val="D65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D263F"/>
    <w:multiLevelType w:val="multilevel"/>
    <w:tmpl w:val="E542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B3723"/>
    <w:multiLevelType w:val="multilevel"/>
    <w:tmpl w:val="FD6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C3714"/>
    <w:multiLevelType w:val="multilevel"/>
    <w:tmpl w:val="5B6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E5A07"/>
    <w:multiLevelType w:val="multilevel"/>
    <w:tmpl w:val="103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61248"/>
    <w:multiLevelType w:val="multilevel"/>
    <w:tmpl w:val="02F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21DE0"/>
    <w:multiLevelType w:val="multilevel"/>
    <w:tmpl w:val="8906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22A7E"/>
    <w:multiLevelType w:val="multilevel"/>
    <w:tmpl w:val="CE32E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A6E0E"/>
    <w:multiLevelType w:val="multilevel"/>
    <w:tmpl w:val="D882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50ABF"/>
    <w:multiLevelType w:val="multilevel"/>
    <w:tmpl w:val="CFB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D5324"/>
    <w:multiLevelType w:val="multilevel"/>
    <w:tmpl w:val="A786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47940"/>
    <w:multiLevelType w:val="multilevel"/>
    <w:tmpl w:val="A2FA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D2E1A"/>
    <w:multiLevelType w:val="multilevel"/>
    <w:tmpl w:val="ADC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B36A5"/>
    <w:multiLevelType w:val="multilevel"/>
    <w:tmpl w:val="1A5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4650F"/>
    <w:multiLevelType w:val="multilevel"/>
    <w:tmpl w:val="6EDE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7564C"/>
    <w:multiLevelType w:val="multilevel"/>
    <w:tmpl w:val="D87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512635">
    <w:abstractNumId w:val="6"/>
  </w:num>
  <w:num w:numId="2" w16cid:durableId="998654833">
    <w:abstractNumId w:val="5"/>
  </w:num>
  <w:num w:numId="3" w16cid:durableId="309598473">
    <w:abstractNumId w:val="1"/>
  </w:num>
  <w:num w:numId="4" w16cid:durableId="1177160530">
    <w:abstractNumId w:val="3"/>
  </w:num>
  <w:num w:numId="5" w16cid:durableId="798766003">
    <w:abstractNumId w:val="13"/>
  </w:num>
  <w:num w:numId="6" w16cid:durableId="521405262">
    <w:abstractNumId w:val="0"/>
  </w:num>
  <w:num w:numId="7" w16cid:durableId="301815612">
    <w:abstractNumId w:val="14"/>
  </w:num>
  <w:num w:numId="8" w16cid:durableId="698897728">
    <w:abstractNumId w:val="10"/>
  </w:num>
  <w:num w:numId="9" w16cid:durableId="1783316">
    <w:abstractNumId w:val="4"/>
  </w:num>
  <w:num w:numId="10" w16cid:durableId="1265455222">
    <w:abstractNumId w:val="9"/>
  </w:num>
  <w:num w:numId="11" w16cid:durableId="1532499344">
    <w:abstractNumId w:val="12"/>
  </w:num>
  <w:num w:numId="12" w16cid:durableId="325481336">
    <w:abstractNumId w:val="15"/>
  </w:num>
  <w:num w:numId="13" w16cid:durableId="1710255833">
    <w:abstractNumId w:val="2"/>
  </w:num>
  <w:num w:numId="14" w16cid:durableId="1942493624">
    <w:abstractNumId w:val="8"/>
  </w:num>
  <w:num w:numId="15" w16cid:durableId="1477065089">
    <w:abstractNumId w:val="11"/>
  </w:num>
  <w:num w:numId="16" w16cid:durableId="276640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FF"/>
    <w:rsid w:val="001B29DE"/>
    <w:rsid w:val="003E46D6"/>
    <w:rsid w:val="003E65BC"/>
    <w:rsid w:val="00447DB9"/>
    <w:rsid w:val="006A6DFF"/>
    <w:rsid w:val="00A23A4C"/>
    <w:rsid w:val="00C6625C"/>
    <w:rsid w:val="00D13AD8"/>
    <w:rsid w:val="00ED41F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BFDC"/>
  <w15:chartTrackingRefBased/>
  <w15:docId w15:val="{BE243265-425A-FB4A-916D-D8C820F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DFF"/>
    <w:rPr>
      <w:rFonts w:eastAsiaTheme="majorEastAsia" w:cstheme="majorBidi"/>
      <w:color w:val="272727" w:themeColor="text1" w:themeTint="D8"/>
    </w:rPr>
  </w:style>
  <w:style w:type="paragraph" w:styleId="Title">
    <w:name w:val="Title"/>
    <w:basedOn w:val="Normal"/>
    <w:next w:val="Normal"/>
    <w:link w:val="TitleChar"/>
    <w:uiPriority w:val="10"/>
    <w:qFormat/>
    <w:rsid w:val="006A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DFF"/>
    <w:pPr>
      <w:spacing w:before="160"/>
      <w:jc w:val="center"/>
    </w:pPr>
    <w:rPr>
      <w:i/>
      <w:iCs/>
      <w:color w:val="404040" w:themeColor="text1" w:themeTint="BF"/>
    </w:rPr>
  </w:style>
  <w:style w:type="character" w:customStyle="1" w:styleId="QuoteChar">
    <w:name w:val="Quote Char"/>
    <w:basedOn w:val="DefaultParagraphFont"/>
    <w:link w:val="Quote"/>
    <w:uiPriority w:val="29"/>
    <w:rsid w:val="006A6DFF"/>
    <w:rPr>
      <w:i/>
      <w:iCs/>
      <w:color w:val="404040" w:themeColor="text1" w:themeTint="BF"/>
    </w:rPr>
  </w:style>
  <w:style w:type="paragraph" w:styleId="ListParagraph">
    <w:name w:val="List Paragraph"/>
    <w:basedOn w:val="Normal"/>
    <w:uiPriority w:val="34"/>
    <w:qFormat/>
    <w:rsid w:val="006A6DFF"/>
    <w:pPr>
      <w:ind w:left="720"/>
      <w:contextualSpacing/>
    </w:pPr>
  </w:style>
  <w:style w:type="character" w:styleId="IntenseEmphasis">
    <w:name w:val="Intense Emphasis"/>
    <w:basedOn w:val="DefaultParagraphFont"/>
    <w:uiPriority w:val="21"/>
    <w:qFormat/>
    <w:rsid w:val="006A6DFF"/>
    <w:rPr>
      <w:i/>
      <w:iCs/>
      <w:color w:val="0F4761" w:themeColor="accent1" w:themeShade="BF"/>
    </w:rPr>
  </w:style>
  <w:style w:type="paragraph" w:styleId="IntenseQuote">
    <w:name w:val="Intense Quote"/>
    <w:basedOn w:val="Normal"/>
    <w:next w:val="Normal"/>
    <w:link w:val="IntenseQuoteChar"/>
    <w:uiPriority w:val="30"/>
    <w:qFormat/>
    <w:rsid w:val="006A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DFF"/>
    <w:rPr>
      <w:i/>
      <w:iCs/>
      <w:color w:val="0F4761" w:themeColor="accent1" w:themeShade="BF"/>
    </w:rPr>
  </w:style>
  <w:style w:type="character" w:styleId="IntenseReference">
    <w:name w:val="Intense Reference"/>
    <w:basedOn w:val="DefaultParagraphFont"/>
    <w:uiPriority w:val="32"/>
    <w:qFormat/>
    <w:rsid w:val="006A6DFF"/>
    <w:rPr>
      <w:b/>
      <w:bCs/>
      <w:smallCaps/>
      <w:color w:val="0F4761" w:themeColor="accent1" w:themeShade="BF"/>
      <w:spacing w:val="5"/>
    </w:rPr>
  </w:style>
  <w:style w:type="paragraph" w:styleId="NormalWeb">
    <w:name w:val="Normal (Web)"/>
    <w:basedOn w:val="Normal"/>
    <w:uiPriority w:val="99"/>
    <w:semiHidden/>
    <w:unhideWhenUsed/>
    <w:rsid w:val="006A6D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6DFF"/>
  </w:style>
  <w:style w:type="character" w:styleId="Emphasis">
    <w:name w:val="Emphasis"/>
    <w:basedOn w:val="DefaultParagraphFont"/>
    <w:uiPriority w:val="20"/>
    <w:qFormat/>
    <w:rsid w:val="006A6DFF"/>
    <w:rPr>
      <w:i/>
      <w:iCs/>
    </w:rPr>
  </w:style>
  <w:style w:type="character" w:styleId="Hyperlink">
    <w:name w:val="Hyperlink"/>
    <w:basedOn w:val="DefaultParagraphFont"/>
    <w:uiPriority w:val="99"/>
    <w:unhideWhenUsed/>
    <w:rsid w:val="003E46D6"/>
    <w:rPr>
      <w:color w:val="0000FF"/>
      <w:u w:val="single"/>
    </w:rPr>
  </w:style>
  <w:style w:type="paragraph" w:customStyle="1" w:styleId="Body">
    <w:name w:val="Body"/>
    <w:rsid w:val="00ED41FD"/>
    <w:pPr>
      <w:pBdr>
        <w:top w:val="nil"/>
        <w:left w:val="nil"/>
        <w:bottom w:val="nil"/>
        <w:right w:val="nil"/>
        <w:between w:val="nil"/>
        <w:bar w:val="nil"/>
      </w:pBdr>
      <w:spacing w:line="259" w:lineRule="auto"/>
    </w:pPr>
    <w:rPr>
      <w:rFonts w:ascii="Aptos" w:eastAsia="Aptos" w:hAnsi="Aptos" w:cs="Aptos"/>
      <w:color w:val="000000"/>
      <w:sz w:val="22"/>
      <w:szCs w:val="22"/>
      <w:u w:color="000000"/>
      <w:bdr w:val="nil"/>
      <w14:textOutline w14:w="0" w14:cap="flat" w14:cmpd="sng" w14:algn="ctr">
        <w14:noFill/>
        <w14:prstDash w14:val="solid"/>
        <w14:bevel/>
      </w14:textOutline>
      <w14:ligatures w14:val="none"/>
    </w:rPr>
  </w:style>
  <w:style w:type="paragraph" w:customStyle="1" w:styleId="Body1">
    <w:name w:val="Body 1"/>
    <w:rsid w:val="00ED41FD"/>
    <w:pPr>
      <w:pBdr>
        <w:top w:val="nil"/>
        <w:left w:val="nil"/>
        <w:bottom w:val="nil"/>
        <w:right w:val="nil"/>
        <w:between w:val="nil"/>
        <w:bar w:val="nil"/>
      </w:pBdr>
      <w:spacing w:line="240" w:lineRule="auto"/>
    </w:pPr>
    <w:rPr>
      <w:rFonts w:ascii="29LT Bukra Bold" w:eastAsia="Arial Unicode MS" w:hAnsi="29LT Bukra Bold" w:cs="Arial Unicode MS"/>
      <w:color w:val="77206D"/>
      <w:u w:color="77206D"/>
      <w:bdr w:val="nil"/>
      <w:lang w:val="en-US"/>
      <w14:shadow w14:blurRad="50800" w14:dist="25400" w14:dir="5400000" w14:sx="100000" w14:sy="100000" w14:kx="0" w14:ky="0" w14:algn="tl">
        <w14:srgbClr w14:val="6E747A">
          <w14:alpha w14:val="57000"/>
        </w14:srgbClr>
      </w14:shadow>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D41FD"/>
    <w:rPr>
      <w:color w:val="96607D" w:themeColor="followedHyperlink"/>
      <w:u w:val="single"/>
    </w:rPr>
  </w:style>
  <w:style w:type="character" w:styleId="UnresolvedMention">
    <w:name w:val="Unresolved Mention"/>
    <w:basedOn w:val="DefaultParagraphFont"/>
    <w:uiPriority w:val="99"/>
    <w:semiHidden/>
    <w:unhideWhenUsed/>
    <w:rsid w:val="001B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02764213479366" TargetMode="External"/><Relationship Id="rId3" Type="http://schemas.openxmlformats.org/officeDocument/2006/relationships/styles" Target="styles.xml"/><Relationship Id="rId7" Type="http://schemas.openxmlformats.org/officeDocument/2006/relationships/hyperlink" Target="https://doi.org/10.1007/s11528-014-0822-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2E4F7-14DF-CF4C-96B0-A0A1BC34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Hanadi Khaled</dc:creator>
  <cp:keywords/>
  <dc:description/>
  <cp:lastModifiedBy>Hanadi Khaled</cp:lastModifiedBy>
  <cp:revision>3</cp:revision>
  <dcterms:created xsi:type="dcterms:W3CDTF">2026-02-15T19:19:00Z</dcterms:created>
  <dcterms:modified xsi:type="dcterms:W3CDTF">2026-02-15T19:23:00Z</dcterms:modified>
</cp:coreProperties>
</file>